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63" w:rsidRPr="00202629" w:rsidRDefault="00A61F63" w:rsidP="00202629">
      <w:pPr>
        <w:tabs>
          <w:tab w:val="left" w:pos="567"/>
          <w:tab w:val="left" w:pos="108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61F63" w:rsidRPr="00202629" w:rsidRDefault="00A61F63" w:rsidP="00202629">
      <w:pPr>
        <w:tabs>
          <w:tab w:val="left" w:pos="567"/>
        </w:tabs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202629">
        <w:rPr>
          <w:rFonts w:ascii="Times New Roman" w:eastAsia="Calibri" w:hAnsi="Times New Roman" w:cs="Times New Roman"/>
          <w:b/>
          <w:sz w:val="26"/>
          <w:szCs w:val="26"/>
          <w:u w:val="single"/>
        </w:rPr>
        <w:t>„АСАРЕЛ – МЕДЕТ“ АД – ГР. ПАНАГЮРИЩЕ</w:t>
      </w:r>
    </w:p>
    <w:p w:rsidR="00681A75" w:rsidRPr="00202629" w:rsidRDefault="00681A75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202629">
        <w:rPr>
          <w:rFonts w:ascii="Times New Roman" w:eastAsia="Calibri" w:hAnsi="Times New Roman" w:cs="Times New Roman"/>
          <w:b/>
          <w:sz w:val="26"/>
          <w:szCs w:val="26"/>
        </w:rPr>
        <w:t>Рег. №</w:t>
      </w:r>
      <w:r w:rsidRPr="00202629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>УТВЪРЖДАВАМ,</w:t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</w:p>
    <w:p w:rsidR="00681A75" w:rsidRPr="00202629" w:rsidRDefault="00681A75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629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                                                </w:t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</w:t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>ИЗП.ДИРЕКТОР:</w:t>
      </w:r>
    </w:p>
    <w:p w:rsidR="00681A75" w:rsidRPr="00202629" w:rsidRDefault="00681A75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 xml:space="preserve">                                                          </w:t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>/инж.Н.Пелтеков/</w:t>
      </w:r>
    </w:p>
    <w:p w:rsidR="00681A75" w:rsidRPr="00202629" w:rsidRDefault="00681A75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</w:rPr>
        <w:tab/>
        <w:t xml:space="preserve">Дата:.......................      </w:t>
      </w:r>
      <w:r w:rsidRPr="00202629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Техническо задание</w:t>
      </w: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u-RU"/>
        </w:rPr>
        <w:t>ОТНОСНО</w:t>
      </w:r>
      <w:r w:rsidR="003633FE"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: </w:t>
      </w:r>
      <w:bookmarkStart w:id="0" w:name="_Hlk219884512"/>
      <w:r w:rsidR="00BD6A35" w:rsidRPr="00202629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3633FE"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Обследване на сграда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BD6A35"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- </w:t>
      </w:r>
      <w:r w:rsidR="00BD6A35"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жилищен блок на адрес „Георги Бенковски“ №33, гр. Панагюрище с цел откриване на течове</w:t>
      </w:r>
      <w:r w:rsidR="00BD6A35" w:rsidRPr="00202629">
        <w:rPr>
          <w:rFonts w:ascii="Times New Roman" w:eastAsia="Times New Roman" w:hAnsi="Times New Roman" w:cs="Times New Roman"/>
          <w:b/>
          <w:sz w:val="26"/>
          <w:szCs w:val="26"/>
        </w:rPr>
        <w:t>“</w:t>
      </w:r>
      <w:bookmarkEnd w:id="0"/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1. Съществуващо положение</w:t>
      </w:r>
    </w:p>
    <w:p w:rsidR="003633FE" w:rsidRPr="00202629" w:rsidRDefault="003633FE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Обектът „Жилищен блок с магазини, офиси, ателиета и подземни гаражи“ на ул. „Георги Бенковски“ № 33, кв. 205, гр. Панагюрище е въведен в експлоатация месец декември 2010година. Той е жилищна многофункционална сграда, която има 4 /четири/ самостоятелни главни входа.</w:t>
      </w:r>
    </w:p>
    <w:p w:rsidR="003633FE" w:rsidRPr="00202629" w:rsidRDefault="003633FE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 Състои се от 7 етажни нива: </w:t>
      </w:r>
    </w:p>
    <w:p w:rsidR="003633FE" w:rsidRPr="00202629" w:rsidRDefault="003633FE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Ниво 1- кота -3,00 – Сутерен</w:t>
      </w:r>
    </w:p>
    <w:p w:rsidR="003633FE" w:rsidRPr="00202629" w:rsidRDefault="003633FE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 xml:space="preserve">Ниво 2-  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кота ±0,00 -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Партер</w:t>
      </w:r>
    </w:p>
    <w:p w:rsidR="003633FE" w:rsidRPr="00202629" w:rsidRDefault="003633FE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 xml:space="preserve">Нива 3, 4, 5 и 6- 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коти съответно: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 w:eastAsia="bg-BG"/>
        </w:rPr>
        <w:t xml:space="preserve">I 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+3,50 ;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 w:eastAsia="bg-BG"/>
        </w:rPr>
        <w:t xml:space="preserve">II 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+6,37;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 w:eastAsia="bg-BG"/>
        </w:rPr>
        <w:t xml:space="preserve">III 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+9,24;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 w:eastAsia="bg-BG"/>
        </w:rPr>
        <w:t xml:space="preserve">IV 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+12,11: 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четири жилищни етажи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по 2 апартамента, с прилежащи апартаментни тераси, покрити и обшити с поликарбонатни плоскости.</w:t>
      </w:r>
    </w:p>
    <w:p w:rsidR="003633FE" w:rsidRPr="00202629" w:rsidRDefault="003633FE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 xml:space="preserve">Ниво 7- 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кота +14,98-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Мансарден етаж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1 жилищно ателие.   На това ниво е и </w:t>
      </w:r>
      <w:r w:rsidRPr="00202629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покривната част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над жилищата, разположени на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 w:eastAsia="bg-BG"/>
        </w:rPr>
        <w:t>IV-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ти етаж.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Покривът</w:t>
      </w: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над мансардния етаж е на кота +18,03м до +18,83м.</w:t>
      </w:r>
    </w:p>
    <w:p w:rsidR="003633FE" w:rsidRPr="00202629" w:rsidRDefault="003633FE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Установени са  чрез огледи следните проблеми:</w:t>
      </w:r>
    </w:p>
    <w:p w:rsidR="003633FE" w:rsidRPr="00202629" w:rsidRDefault="003633FE" w:rsidP="00202629">
      <w:pPr>
        <w:pStyle w:val="ListParagraph"/>
        <w:numPr>
          <w:ilvl w:val="0"/>
          <w:numId w:val="13"/>
        </w:numPr>
        <w:tabs>
          <w:tab w:val="left" w:pos="567"/>
        </w:tabs>
        <w:spacing w:after="0"/>
        <w:ind w:left="0" w:firstLine="284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Ателие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№2,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вх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 Б:</w:t>
      </w:r>
    </w:p>
    <w:p w:rsidR="003633FE" w:rsidRPr="00202629" w:rsidRDefault="003633FE" w:rsidP="00202629">
      <w:pPr>
        <w:pStyle w:val="ListParagraph"/>
        <w:numPr>
          <w:ilvl w:val="0"/>
          <w:numId w:val="14"/>
        </w:numPr>
        <w:tabs>
          <w:tab w:val="left" w:pos="567"/>
        </w:tabs>
        <w:spacing w:after="0"/>
        <w:ind w:left="0" w:firstLine="284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Влага по стените в близост до прозорци.</w:t>
      </w:r>
    </w:p>
    <w:p w:rsidR="003633FE" w:rsidRPr="00202629" w:rsidRDefault="003633FE" w:rsidP="00202629">
      <w:pPr>
        <w:pStyle w:val="ListParagraph"/>
        <w:numPr>
          <w:ilvl w:val="0"/>
          <w:numId w:val="13"/>
        </w:numPr>
        <w:tabs>
          <w:tab w:val="left" w:pos="567"/>
        </w:tabs>
        <w:spacing w:after="0"/>
        <w:ind w:left="0"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Апартамент 3 ет., вх. Б:</w:t>
      </w:r>
    </w:p>
    <w:p w:rsidR="003633FE" w:rsidRPr="00202629" w:rsidRDefault="003633FE" w:rsidP="00202629">
      <w:pPr>
        <w:pStyle w:val="ListParagraph"/>
        <w:numPr>
          <w:ilvl w:val="0"/>
          <w:numId w:val="14"/>
        </w:numPr>
        <w:tabs>
          <w:tab w:val="left" w:pos="567"/>
        </w:tabs>
        <w:spacing w:after="0"/>
        <w:ind w:left="0"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Теч по стена в кухня.</w:t>
      </w:r>
    </w:p>
    <w:p w:rsidR="000901DD" w:rsidRPr="00202629" w:rsidRDefault="000901DD" w:rsidP="00202629">
      <w:pPr>
        <w:pStyle w:val="ListParagraph"/>
        <w:numPr>
          <w:ilvl w:val="0"/>
          <w:numId w:val="13"/>
        </w:numPr>
        <w:tabs>
          <w:tab w:val="left" w:pos="567"/>
        </w:tabs>
        <w:spacing w:after="0"/>
        <w:ind w:left="142" w:firstLine="142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Апартамент №1 и 10, вх. А </w:t>
      </w:r>
    </w:p>
    <w:p w:rsidR="000901DD" w:rsidRPr="00202629" w:rsidRDefault="000901DD" w:rsidP="00202629">
      <w:pPr>
        <w:pStyle w:val="ListParagraph"/>
        <w:tabs>
          <w:tab w:val="left" w:pos="567"/>
        </w:tabs>
        <w:spacing w:after="0"/>
        <w:ind w:left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– Теч в кухнята;</w:t>
      </w:r>
    </w:p>
    <w:p w:rsidR="000901DD" w:rsidRPr="00202629" w:rsidRDefault="000901DD" w:rsidP="00202629">
      <w:pPr>
        <w:pStyle w:val="ListParagraph"/>
        <w:numPr>
          <w:ilvl w:val="0"/>
          <w:numId w:val="13"/>
        </w:numPr>
        <w:tabs>
          <w:tab w:val="left" w:pos="567"/>
        </w:tabs>
        <w:spacing w:after="0"/>
        <w:ind w:left="142" w:firstLine="142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Сутерен – коридор</w:t>
      </w:r>
    </w:p>
    <w:p w:rsidR="000901DD" w:rsidRPr="00202629" w:rsidRDefault="000901DD" w:rsidP="00202629">
      <w:pPr>
        <w:pStyle w:val="ListParagraph"/>
        <w:numPr>
          <w:ilvl w:val="0"/>
          <w:numId w:val="14"/>
        </w:numPr>
        <w:tabs>
          <w:tab w:val="left" w:pos="567"/>
        </w:tabs>
        <w:spacing w:after="0"/>
        <w:ind w:hanging="1501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Теч от тавана</w:t>
      </w:r>
    </w:p>
    <w:p w:rsidR="003633FE" w:rsidRPr="00202629" w:rsidRDefault="003633FE" w:rsidP="00202629">
      <w:pPr>
        <w:pStyle w:val="ListParagraph"/>
        <w:numPr>
          <w:ilvl w:val="0"/>
          <w:numId w:val="13"/>
        </w:numPr>
        <w:tabs>
          <w:tab w:val="left" w:pos="567"/>
        </w:tabs>
        <w:spacing w:after="0"/>
        <w:ind w:left="0"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Мини – маркет -сутерен вх.Г:</w:t>
      </w:r>
    </w:p>
    <w:p w:rsidR="003633FE" w:rsidRPr="00202629" w:rsidRDefault="003633FE" w:rsidP="00202629">
      <w:pPr>
        <w:pStyle w:val="ListParagraph"/>
        <w:numPr>
          <w:ilvl w:val="0"/>
          <w:numId w:val="14"/>
        </w:numPr>
        <w:tabs>
          <w:tab w:val="left" w:pos="567"/>
        </w:tabs>
        <w:spacing w:after="0"/>
        <w:ind w:left="0"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Течове от таваните.</w:t>
      </w:r>
    </w:p>
    <w:p w:rsidR="003633FE" w:rsidRPr="00202629" w:rsidRDefault="003633FE" w:rsidP="00202629">
      <w:pPr>
        <w:pStyle w:val="ListParagraph"/>
        <w:numPr>
          <w:ilvl w:val="0"/>
          <w:numId w:val="13"/>
        </w:numPr>
        <w:tabs>
          <w:tab w:val="left" w:pos="567"/>
        </w:tabs>
        <w:spacing w:after="0"/>
        <w:ind w:left="0" w:firstLine="28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Интернет-клуб – сутерен вх.В: </w:t>
      </w:r>
    </w:p>
    <w:p w:rsidR="003633FE" w:rsidRPr="00202629" w:rsidRDefault="003633FE" w:rsidP="00202629">
      <w:pPr>
        <w:pStyle w:val="ListParagraph"/>
        <w:numPr>
          <w:ilvl w:val="0"/>
          <w:numId w:val="14"/>
        </w:numPr>
        <w:tabs>
          <w:tab w:val="left" w:pos="567"/>
          <w:tab w:val="left" w:pos="184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eastAsia="bg-BG"/>
        </w:rPr>
        <w:t>Течове от таваните.</w:t>
      </w: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</w:pP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2. Условия за същността/цел/, съдържанието/предмет/.</w:t>
      </w: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 xml:space="preserve">2.1. </w:t>
      </w:r>
      <w:proofErr w:type="spellStart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Същност</w:t>
      </w:r>
      <w:proofErr w:type="spellEnd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/</w:t>
      </w:r>
      <w:proofErr w:type="spellStart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цел</w:t>
      </w:r>
      <w:proofErr w:type="spellEnd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/ </w:t>
      </w:r>
      <w:proofErr w:type="spellStart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услугата</w:t>
      </w:r>
      <w:proofErr w:type="spellEnd"/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20C33" w:rsidRPr="00202629" w:rsidRDefault="00220C33" w:rsidP="00202629">
      <w:pPr>
        <w:tabs>
          <w:tab w:val="left" w:pos="567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Целта на ТЗ е избор на изпълнител на задачата за обследване на водосточни и канализационни тръби, също така и обследване с термокамера за откриване причината за течове.</w:t>
      </w:r>
    </w:p>
    <w:p w:rsidR="000901DD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2.2. Съдържание /предмет/ на услугата:</w:t>
      </w:r>
    </w:p>
    <w:p w:rsidR="00220C33" w:rsidRPr="00202629" w:rsidRDefault="00220C33" w:rsidP="00202629">
      <w:pPr>
        <w:tabs>
          <w:tab w:val="left" w:pos="567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Услугата е със следния предмет: 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„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Обследване на сграда - жилищен блок на адрес „Георги Бенковски“ №33, гр. Панагюрище с цел откриване на течове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“</w:t>
      </w:r>
    </w:p>
    <w:p w:rsidR="00220C33" w:rsidRPr="00202629" w:rsidRDefault="00220C3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Собственик на описаните апартаменти в жилищния блок и възложител на услугата е „Асарел Медет“ АД, гр. Панагюрище.</w:t>
      </w:r>
    </w:p>
    <w:p w:rsidR="00220C33" w:rsidRPr="00202629" w:rsidRDefault="00220C3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Предвидените ремонтни дейности са подробно описани в Приложение №1- „КСС №1 към  настоящето ТЗ.</w:t>
      </w:r>
    </w:p>
    <w:p w:rsidR="00220C33" w:rsidRPr="00202629" w:rsidRDefault="00220C3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Целта е да се открият причините за течовете</w:t>
      </w:r>
      <w:r w:rsidR="0084255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="00842556">
        <w:rPr>
          <w:rFonts w:ascii="Times New Roman" w:eastAsia="Times New Roman" w:hAnsi="Times New Roman" w:cs="Times New Roman"/>
          <w:sz w:val="26"/>
          <w:szCs w:val="26"/>
        </w:rPr>
        <w:t>за да се обезпечи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 последващото им отстраняване в апартаментите и сутерена на многофункционалната жилищна сграда, които са подробно описани в т.1 „Съществуващо положение“ по-горе.</w:t>
      </w: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HG Mincho Light J" w:hAnsi="Times New Roman" w:cs="Times New Roman"/>
          <w:b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3.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 xml:space="preserve"> Обем на услугата. Основни технико-технологични параметри</w:t>
      </w:r>
      <w:r w:rsidRPr="00202629">
        <w:rPr>
          <w:rFonts w:ascii="Times New Roman" w:eastAsia="HG Mincho Light J" w:hAnsi="Times New Roman" w:cs="Times New Roman"/>
          <w:b/>
          <w:sz w:val="26"/>
          <w:szCs w:val="26"/>
          <w:lang w:val="ru-RU"/>
        </w:rPr>
        <w:t>. С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 xml:space="preserve">пецифични изисквания към услугата. </w:t>
      </w:r>
      <w:r w:rsidRPr="00202629">
        <w:rPr>
          <w:rFonts w:ascii="Times New Roman" w:eastAsia="HG Mincho Light J" w:hAnsi="Times New Roman" w:cs="Times New Roman"/>
          <w:b/>
          <w:sz w:val="26"/>
          <w:szCs w:val="26"/>
          <w:lang w:val="ru-RU"/>
        </w:rPr>
        <w:t xml:space="preserve"> 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3.1. Обхват и обем на строително-ремонтните работи за обекта –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 реализиране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на всички предвидени </w:t>
      </w:r>
      <w:r w:rsidR="000901DD" w:rsidRPr="00202629">
        <w:rPr>
          <w:rFonts w:ascii="Times New Roman" w:eastAsia="Times New Roman" w:hAnsi="Times New Roman" w:cs="Times New Roman"/>
          <w:sz w:val="26"/>
          <w:szCs w:val="26"/>
        </w:rPr>
        <w:t>дейности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, описани в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Приложение №1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 – Количествена сметка.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Обобщената количествена сметка, която следва да бъде попълнена и остойностена от кандидатите на база техния професионален фирмен опит и следвайки конюнктурата на пазара в момента. При това трябва да бъдат спазвани законовата нормативна уредба, технически изисквания и  нормативните изисквания за опазване на околната среда. В единичните цени да бъдат отчетени инфлационни и други процеси, влияещи пряко върху формирането им, да бъдат интегрирани всички операции, гарантиращи качество на изпълнение, като така оферираните цени ще остават твърди за целия период на изпълнение на 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задачата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. Специфичните разходи и други видове работи (ако има такива), неотразени в Приложение №1, но необходими за качествено извършване на задачата, трябва да се предвидят от оферентите като интегрирани такива в отделните цени за видовете дейности.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4. Изисквания към оферентите за подготовка, изготвяне и комплектоване на Офертната документация: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4.1.</w:t>
      </w:r>
      <w:r w:rsidRPr="00202629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 xml:space="preserve"> Финансова част</w:t>
      </w:r>
      <w:r w:rsidRPr="00202629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– към офертата трябва да се приложи: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be-BY"/>
        </w:rPr>
        <w:t xml:space="preserve">1. Предложения за крайни единични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„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твърди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be-BY"/>
        </w:rPr>
        <w:t>”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цени по видове дейности, като в единичните цени за даден вид дейност са включени всички съпътстващи дейности и операции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Посочените единични цени трябва да останат такива за целия период на задачата,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товаро–разтоварни и транспортни работи и др. ресурси – франко обекта, и др. подобни обезпечаващи извършването на дейностите по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be-BY"/>
        </w:rPr>
        <w:t xml:space="preserve">Приложение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№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202629">
        <w:rPr>
          <w:rFonts w:ascii="Times New Roman" w:eastAsia="Times New Roman" w:hAnsi="Times New Roman" w:cs="Times New Roman"/>
          <w:snapToGrid w:val="0"/>
          <w:sz w:val="26"/>
          <w:szCs w:val="26"/>
        </w:rPr>
        <w:t>.</w:t>
      </w:r>
    </w:p>
    <w:p w:rsidR="00A763D9" w:rsidRPr="00202629" w:rsidRDefault="00A763D9" w:rsidP="00202629">
      <w:pPr>
        <w:numPr>
          <w:ilvl w:val="0"/>
          <w:numId w:val="2"/>
        </w:numPr>
        <w:tabs>
          <w:tab w:val="num" w:pos="426"/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Обща рекапитулац</w:t>
      </w:r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ионна стойност за услугата, евро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без ДДС. </w:t>
      </w:r>
      <w:r w:rsidRPr="00202629">
        <w:rPr>
          <w:rFonts w:ascii="Times New Roman" w:eastAsia="Times New Roman" w:hAnsi="Times New Roman" w:cs="Times New Roman"/>
          <w:snapToGrid w:val="0"/>
          <w:sz w:val="26"/>
          <w:szCs w:val="26"/>
        </w:rPr>
        <w:t>Условия за разплащане и начин на разплащане /аванс и др./. Начин за гарантиране на аванса.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№2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 xml:space="preserve">4.2 Техническа част – 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към офертата трябва да се приложи: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</w:t>
      </w:r>
      <w:r w:rsidR="0084255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3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„Общ срок за изпълнение на услугата”.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right="27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ИЗПЪЛНИТЕЛЯТ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даде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срок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изпълнение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202629">
        <w:rPr>
          <w:rFonts w:ascii="Times New Roman" w:eastAsia="Times New Roman" w:hAnsi="Times New Roman" w:cs="Times New Roman"/>
          <w:bCs/>
          <w:iCs/>
          <w:sz w:val="26"/>
          <w:szCs w:val="26"/>
        </w:rPr>
        <w:t>задачата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в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календарни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дни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пълния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обем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КСС /</w:t>
      </w:r>
      <w:proofErr w:type="spellStart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Приложение</w:t>
      </w:r>
      <w:proofErr w:type="spellEnd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№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. 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right="27" w:firstLine="284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>Всички</w:t>
      </w:r>
      <w:proofErr w:type="spellEnd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>срокове</w:t>
      </w:r>
      <w:proofErr w:type="spellEnd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>да</w:t>
      </w:r>
      <w:proofErr w:type="spellEnd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>бъдат</w:t>
      </w:r>
      <w:proofErr w:type="spellEnd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>посочени</w:t>
      </w:r>
      <w:proofErr w:type="spellEnd"/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в </w:t>
      </w:r>
      <w:r w:rsidRPr="00202629">
        <w:rPr>
          <w:rFonts w:ascii="Times New Roman" w:eastAsia="Calibri" w:hAnsi="Times New Roman" w:cs="Times New Roman"/>
          <w:b/>
          <w:sz w:val="26"/>
          <w:szCs w:val="26"/>
          <w:lang w:val="en-US"/>
        </w:rPr>
        <w:t>КАЛЕНДАРНИ ДНИ</w:t>
      </w:r>
      <w:r w:rsidRPr="00202629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Проекто-договор /не се попълва, само се парафира и подпечатва всяка страница като  свидетелство, че оферентът е запознат с условията по него/. Бележки към проекто-договора НЯМА да се приемат в последващи етапи от проучването. –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</w:t>
      </w:r>
      <w:r w:rsidR="0084255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4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Декларация за срок на валидност –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</w:t>
      </w:r>
      <w:r w:rsidR="0084255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5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Да се посочи срок на валидност на офертата не по-малък от 120 календарни дни.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Административни сведения, точен адрес, имената на лицата за контакти, телефон, факс и Е-mail –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</w:t>
      </w:r>
      <w:r w:rsidR="0084255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Фирмата 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Приложение №</w:t>
      </w:r>
      <w:r w:rsidR="0084255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7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27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20262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ИЗПЪЛНИТЕЛЯ</w:t>
      </w:r>
      <w:r w:rsidRPr="0020262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преди извършване огледа на обекта и остава при </w:t>
      </w:r>
      <w:r w:rsidRPr="0020262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ВЪЗЛОЖИТЕЛЯ</w:t>
      </w:r>
      <w:r w:rsidRPr="0020262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Приложение №</w:t>
      </w:r>
      <w:r w:rsidR="00842556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Автореференция с описание на дейностите, които фирмата изпълнява.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Доказателства за технически опит, квалификация и възможности на кандидата със следните документи:</w:t>
      </w:r>
    </w:p>
    <w:p w:rsidR="00A763D9" w:rsidRPr="00202629" w:rsidRDefault="00A763D9" w:rsidP="00202629">
      <w:pPr>
        <w:widowControl w:val="0"/>
        <w:numPr>
          <w:ilvl w:val="0"/>
          <w:numId w:val="8"/>
        </w:numPr>
        <w:tabs>
          <w:tab w:val="clear" w:pos="1950"/>
          <w:tab w:val="left" w:pos="567"/>
          <w:tab w:val="left" w:pos="851"/>
          <w:tab w:val="num" w:pos="1560"/>
          <w:tab w:val="num" w:pos="2288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202629"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t>ИТР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персонал/;</w:t>
      </w:r>
    </w:p>
    <w:p w:rsidR="00A763D9" w:rsidRPr="00202629" w:rsidRDefault="00A763D9" w:rsidP="00202629">
      <w:pPr>
        <w:widowControl w:val="0"/>
        <w:numPr>
          <w:ilvl w:val="0"/>
          <w:numId w:val="8"/>
        </w:numPr>
        <w:tabs>
          <w:tab w:val="clear" w:pos="1950"/>
          <w:tab w:val="left" w:pos="567"/>
          <w:tab w:val="num" w:pos="709"/>
          <w:tab w:val="left" w:pos="851"/>
          <w:tab w:val="left" w:pos="993"/>
          <w:tab w:val="num" w:pos="2288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Справка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изпълнени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задачи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подобен</w:t>
      </w:r>
      <w:proofErr w:type="spellEnd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характер</w:t>
      </w:r>
      <w:proofErr w:type="spellEnd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през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последните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3 /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три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/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години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с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пълно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описание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предмета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и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посочване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цена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срок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изпълнение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и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данни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съответния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възложител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763D9" w:rsidRPr="00202629" w:rsidRDefault="00A763D9" w:rsidP="00202629">
      <w:pPr>
        <w:numPr>
          <w:ilvl w:val="0"/>
          <w:numId w:val="8"/>
        </w:numPr>
        <w:tabs>
          <w:tab w:val="clear" w:pos="1950"/>
          <w:tab w:val="left" w:pos="567"/>
          <w:tab w:val="num" w:pos="709"/>
          <w:tab w:val="left" w:pos="851"/>
          <w:tab w:val="left" w:pos="993"/>
          <w:tab w:val="num" w:pos="2288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Референции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/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минимум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3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бр/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за задачи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подобен характер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за последните три години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и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референтен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лист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с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адреси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телефонни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номера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и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лица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контакти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други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възложители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Удостоверение за актуалното състояние на фирмата. </w:t>
      </w:r>
    </w:p>
    <w:p w:rsidR="00A763D9" w:rsidRPr="00202629" w:rsidRDefault="00A763D9" w:rsidP="00202629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Изисквания за съдействие от страна на Възложителя и условия за изпълнение на задачата. /ако няма се декларира/.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18.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am-ET"/>
        </w:rPr>
        <w:t xml:space="preserve">Представяне на </w:t>
      </w:r>
      <w:bookmarkStart w:id="1" w:name="_Hlk163118163"/>
      <w:r w:rsidRPr="00202629">
        <w:rPr>
          <w:rFonts w:ascii="Times New Roman" w:eastAsia="Times New Roman" w:hAnsi="Times New Roman" w:cs="Times New Roman"/>
          <w:sz w:val="26"/>
          <w:szCs w:val="26"/>
          <w:lang w:val="am-ET"/>
        </w:rPr>
        <w:t>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End w:id="1"/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Приложение №</w:t>
      </w:r>
      <w:r w:rsidR="00842556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4.3. Важни услови за участниците:</w:t>
      </w:r>
    </w:p>
    <w:p w:rsidR="00A763D9" w:rsidRPr="00202629" w:rsidRDefault="00A763D9" w:rsidP="00202629">
      <w:pPr>
        <w:numPr>
          <w:ilvl w:val="0"/>
          <w:numId w:val="6"/>
        </w:numPr>
        <w:tabs>
          <w:tab w:val="left" w:pos="567"/>
          <w:tab w:val="num" w:pos="156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непредставяне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който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и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е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указаните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в 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т.4.1 и 4.2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документи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или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непопълване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което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и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е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приложенията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образец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с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указания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попълване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съответният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участник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ще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бъде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декласиран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по-нататъшно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участие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в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процедурата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763D9" w:rsidRPr="00202629" w:rsidRDefault="00A763D9" w:rsidP="00202629">
      <w:pPr>
        <w:numPr>
          <w:ilvl w:val="0"/>
          <w:numId w:val="7"/>
        </w:numPr>
        <w:tabs>
          <w:tab w:val="left" w:pos="567"/>
          <w:tab w:val="num" w:pos="156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Всички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описани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документи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в т.4.1 и т.4.2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поставят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заедно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в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общ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голям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плик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.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Попълнените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приложения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№1 и №2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представят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както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хартиен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,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така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и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електронен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носител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CD /DVD/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диск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в Excel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формат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формулярите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образец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Възложителя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763D9" w:rsidRPr="00202629" w:rsidRDefault="00A763D9" w:rsidP="00202629">
      <w:pPr>
        <w:numPr>
          <w:ilvl w:val="0"/>
          <w:numId w:val="7"/>
        </w:numPr>
        <w:tabs>
          <w:tab w:val="left" w:pos="567"/>
          <w:tab w:val="num" w:pos="156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Класирането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участниците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в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настоящата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процедура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и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крайният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избор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Главен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изпълнител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ще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бъде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извършено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комплексна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методика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оценка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предложенията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съобразно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одобрени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критерии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763D9" w:rsidRPr="00202629" w:rsidRDefault="00A763D9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5. Начин и критерии за приемане на извършената работа. Качествени изисквания към услугата: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Възложителя има право да посещава площадката обект на задачата по всяко едно време, с цел контрол върху спазване на техническото решение и качеството на изпълнение.</w:t>
      </w:r>
    </w:p>
    <w:p w:rsidR="00A763D9" w:rsidRPr="00202629" w:rsidRDefault="00842556" w:rsidP="00202629">
      <w:pPr>
        <w:numPr>
          <w:ilvl w:val="1"/>
          <w:numId w:val="4"/>
        </w:numPr>
        <w:tabs>
          <w:tab w:val="left" w:pos="567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A763D9" w:rsidRPr="00202629">
        <w:rPr>
          <w:rFonts w:ascii="Times New Roman" w:eastAsia="Times New Roman" w:hAnsi="Times New Roman" w:cs="Times New Roman"/>
          <w:sz w:val="26"/>
          <w:szCs w:val="26"/>
        </w:rPr>
        <w:t xml:space="preserve">азплащане на извършените работи ще се извършва на база двустранно съставен и подписан </w:t>
      </w:r>
      <w:r>
        <w:rPr>
          <w:rFonts w:ascii="Times New Roman" w:eastAsia="Times New Roman" w:hAnsi="Times New Roman" w:cs="Times New Roman"/>
          <w:sz w:val="26"/>
          <w:szCs w:val="26"/>
        </w:rPr>
        <w:t>Приемо-предавателен протокол</w:t>
      </w:r>
      <w:r w:rsidR="00A763D9" w:rsidRPr="00202629">
        <w:rPr>
          <w:rFonts w:ascii="Times New Roman" w:eastAsia="Times New Roman" w:hAnsi="Times New Roman" w:cs="Times New Roman"/>
          <w:sz w:val="26"/>
          <w:szCs w:val="26"/>
        </w:rPr>
        <w:t xml:space="preserve"> от Възложител и Изпълнител 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lastRenderedPageBreak/>
        <w:t>Снимков материал</w:t>
      </w:r>
      <w:r w:rsidR="00842556">
        <w:rPr>
          <w:rFonts w:ascii="Times New Roman" w:eastAsia="Times New Roman" w:hAnsi="Times New Roman" w:cs="Times New Roman"/>
          <w:sz w:val="26"/>
          <w:szCs w:val="26"/>
        </w:rPr>
        <w:t xml:space="preserve"> и Доклад с резултати от обследването с изводи и препоръки.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Изпълненият обем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дейности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, подлежащи на заплащане ще се отчита и заплаща въз основа на следните документи:</w:t>
      </w:r>
    </w:p>
    <w:p w:rsidR="00A763D9" w:rsidRPr="00202629" w:rsidRDefault="00A763D9" w:rsidP="00202629">
      <w:pPr>
        <w:numPr>
          <w:ilvl w:val="0"/>
          <w:numId w:val="5"/>
        </w:numPr>
        <w:tabs>
          <w:tab w:val="left" w:pos="567"/>
          <w:tab w:val="num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Издадена данъчна фактура от Изпълнителя;</w:t>
      </w:r>
    </w:p>
    <w:p w:rsidR="00A763D9" w:rsidRPr="00202629" w:rsidRDefault="00A763D9" w:rsidP="00202629">
      <w:pPr>
        <w:numPr>
          <w:ilvl w:val="0"/>
          <w:numId w:val="5"/>
        </w:numPr>
        <w:tabs>
          <w:tab w:val="left" w:pos="567"/>
          <w:tab w:val="num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При непредставяне на някой от изредените документи не следва да бъде извършено разплащане на актуваните дейности.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Изпълнителят е длъжен да актува само изцяло извършени дейности.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Количествата на изпълнените работи ще се доказват по време на тяхното изпълнение, двустранно  между Изпълнителя и Възложителя.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Остойностяването на изпълнените  видове работи, ще се извършва по приети твърди единични цени в Приложение №1 и доказани количества.</w:t>
      </w:r>
    </w:p>
    <w:p w:rsidR="00A763D9" w:rsidRPr="00202629" w:rsidRDefault="00A763D9" w:rsidP="00202629">
      <w:pPr>
        <w:numPr>
          <w:ilvl w:val="0"/>
          <w:numId w:val="4"/>
        </w:numPr>
        <w:tabs>
          <w:tab w:val="left" w:pos="567"/>
          <w:tab w:val="num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Други условия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Да се спазват Общите условия към договорите с изискванията за дейности, изпълнявани от външни партньори в контролираните от „Асарел Медет”АД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Задължително е спазването на предписанията на отдели „БЗР”, „ВК”, „Екология” и „Фирмена сигурност” и от контролните органи.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При изпълнението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дейностите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 на обекта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ПАБ.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Стриктно да се спазват действуващи нормативни документи по осигуряване на здраве и безопасност при работа.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Задължително е изискването за наличие на постоянно техническо ръководство. 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Дружеството.</w:t>
      </w:r>
    </w:p>
    <w:p w:rsidR="00A763D9" w:rsidRPr="00202629" w:rsidRDefault="00A763D9" w:rsidP="00202629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Оферентите могат да извършат оглед на обекта след предварително съгласуване деня посещението, но не по-късно от 5 календарни дни преди определения краен срок за подаване на оферти.</w:t>
      </w:r>
    </w:p>
    <w:p w:rsidR="00A61F63" w:rsidRPr="00202629" w:rsidRDefault="00A61F63" w:rsidP="00202629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Офертите да се представят до 15.30 часа на  ............... 20…… г. по един от следните начини:</w:t>
      </w:r>
    </w:p>
    <w:p w:rsidR="00A61F63" w:rsidRPr="00202629" w:rsidRDefault="00A61F63" w:rsidP="00202629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ръка в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Деловодството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на “Асарел-Медет” АД, запечатани в плик, адресирани до Изпълнителния Директор на “Асарел – Медет” АД, 4 500 гр. Панагюрище с надпис: 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“Оферта за </w:t>
      </w:r>
      <w:r w:rsidR="00681A75"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„Обследване на сграда - жилищен блок на адрес „Георги Бенковски“ №33, гр. Панагюрище с цел откриване на течове“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 забележка: „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Да се  отвори само в присъствието на определената за целта комисия !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”.</w:t>
      </w:r>
    </w:p>
    <w:p w:rsidR="00A61F63" w:rsidRPr="00202629" w:rsidRDefault="00A61F63" w:rsidP="00202629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обикновена или куриерска </w:t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поща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, запечатани в плик, адресирани до (както в предишната точка) /валидно е и пощенско клеймо/.</w:t>
      </w:r>
    </w:p>
    <w:p w:rsidR="00A61F63" w:rsidRPr="00202629" w:rsidRDefault="00A61F63" w:rsidP="00202629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e-mail: </w:t>
      </w:r>
      <w:proofErr w:type="spellStart"/>
      <w:r w:rsidR="00681A75" w:rsidRPr="0020262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pbox</w:t>
      </w:r>
      <w:proofErr w:type="spellEnd"/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@asarel.com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, лично на вниманието на Изпълнителния Директор.</w:t>
      </w:r>
    </w:p>
    <w:p w:rsidR="00A61F63" w:rsidRPr="00202629" w:rsidRDefault="00681A75" w:rsidP="00202629">
      <w:pPr>
        <w:tabs>
          <w:tab w:val="left" w:pos="567"/>
          <w:tab w:val="left" w:pos="851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Офертите се  отварят и разглеждат от избраната за целта комисия .</w:t>
      </w:r>
    </w:p>
    <w:p w:rsidR="00A61F63" w:rsidRPr="00202629" w:rsidRDefault="00A61F63" w:rsidP="00202629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Резултатите се оповестяват с приключване  на работата на комисията, като подбора на подадените оферти се извършва по утвърдена методика. </w:t>
      </w: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Обръщаме внимание на участниците,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</w:rPr>
        <w:t>7. За контакти</w:t>
      </w:r>
    </w:p>
    <w:p w:rsidR="00A61F63" w:rsidRPr="00202629" w:rsidRDefault="0061122C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Гергана Вагашева – тел. 0883 53 20 36, </w:t>
      </w:r>
      <w:r w:rsidR="006D2669" w:rsidRPr="00202629">
        <w:rPr>
          <w:rFonts w:ascii="Times New Roman" w:eastAsia="Times New Roman" w:hAnsi="Times New Roman" w:cs="Times New Roman"/>
          <w:sz w:val="26"/>
          <w:szCs w:val="26"/>
          <w:lang w:val="en-US"/>
        </w:rPr>
        <w:t>e-mail: gvagasheva@asarel.com</w:t>
      </w:r>
    </w:p>
    <w:p w:rsidR="00A61F63" w:rsidRPr="00202629" w:rsidRDefault="00A61F63" w:rsidP="00202629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8. Приложения:</w:t>
      </w:r>
    </w:p>
    <w:p w:rsidR="00A61F63" w:rsidRPr="00202629" w:rsidRDefault="00A61F63" w:rsidP="00202629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№1 ––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оличествена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сметк</w:t>
      </w:r>
      <w:r w:rsidR="00202629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a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61F63" w:rsidRPr="00202629" w:rsidRDefault="00A61F63" w:rsidP="00202629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</w:t>
      </w:r>
      <w:r w:rsidR="00681A75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2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–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Предлагана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обща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офертна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цена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и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начин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разплащане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61F63" w:rsidRPr="00C41DCC" w:rsidRDefault="00A61F63" w:rsidP="00C41DCC">
      <w:pPr>
        <w:widowControl w:val="0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1DC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–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Общ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срок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изпълнение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61F63" w:rsidRPr="00202629" w:rsidRDefault="00A61F63" w:rsidP="00202629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</w:t>
      </w:r>
      <w:r w:rsidR="00C41DC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–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Проекто-Договор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строителство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61F63" w:rsidRPr="00202629" w:rsidRDefault="000901DD" w:rsidP="00202629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</w:t>
      </w:r>
      <w:r w:rsidR="00C41DCC">
        <w:rPr>
          <w:rFonts w:ascii="Times New Roman" w:eastAsia="Times New Roman" w:hAnsi="Times New Roman" w:cs="Times New Roman"/>
          <w:sz w:val="26"/>
          <w:szCs w:val="26"/>
        </w:rPr>
        <w:t>5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– </w:t>
      </w:r>
      <w:proofErr w:type="spellStart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Декларация</w:t>
      </w:r>
      <w:proofErr w:type="spellEnd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срок</w:t>
      </w:r>
      <w:proofErr w:type="spellEnd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валидност</w:t>
      </w:r>
      <w:proofErr w:type="spellEnd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61F63" w:rsidRPr="00202629" w:rsidRDefault="000901DD" w:rsidP="00202629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Приложения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</w:t>
      </w:r>
      <w:r w:rsidR="00C41DCC">
        <w:rPr>
          <w:rFonts w:ascii="Times New Roman" w:eastAsia="Times New Roman" w:hAnsi="Times New Roman" w:cs="Times New Roman"/>
          <w:sz w:val="26"/>
          <w:szCs w:val="26"/>
        </w:rPr>
        <w:t>6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–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„</w:t>
      </w:r>
      <w:proofErr w:type="spellStart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Административни</w:t>
      </w:r>
      <w:proofErr w:type="spellEnd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сведения</w:t>
      </w:r>
      <w:proofErr w:type="spellEnd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”.</w:t>
      </w:r>
    </w:p>
    <w:p w:rsidR="00A61F63" w:rsidRPr="00202629" w:rsidRDefault="00A61F63" w:rsidP="00202629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</w:t>
      </w:r>
      <w:r w:rsidR="00C41DCC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–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Декларация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оглед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площадката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61F63" w:rsidRPr="00202629" w:rsidRDefault="00A61F63" w:rsidP="00202629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</w:t>
      </w:r>
      <w:r w:rsidR="00C41DCC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–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Образец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Декларация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конфиденциалност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61F63" w:rsidRPr="00202629" w:rsidRDefault="00A61F63" w:rsidP="0020262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proofErr w:type="spellStart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Приложение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№</w:t>
      </w:r>
      <w:r w:rsidR="00C41DCC">
        <w:rPr>
          <w:rFonts w:ascii="Times New Roman" w:eastAsia="Times New Roman" w:hAnsi="Times New Roman" w:cs="Times New Roman"/>
          <w:sz w:val="26"/>
          <w:szCs w:val="26"/>
        </w:rPr>
        <w:t>9</w:t>
      </w:r>
      <w:bookmarkStart w:id="2" w:name="_GoBack"/>
      <w:bookmarkEnd w:id="2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–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Декларация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образец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съгласно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Политиката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„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Асарел-Медет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“ АД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за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съответствие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с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режим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наложени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международни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ограничителни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мерки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и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мерки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върху</w:t>
      </w:r>
      <w:proofErr w:type="spellEnd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 xml:space="preserve"> </w:t>
      </w:r>
      <w:proofErr w:type="spellStart"/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търговията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.</w:t>
      </w:r>
    </w:p>
    <w:p w:rsidR="00A61F63" w:rsidRDefault="00A61F63" w:rsidP="00202629">
      <w:pPr>
        <w:tabs>
          <w:tab w:val="left" w:pos="567"/>
          <w:tab w:val="left" w:pos="1134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02629" w:rsidRDefault="00202629" w:rsidP="00202629">
      <w:pPr>
        <w:tabs>
          <w:tab w:val="left" w:pos="567"/>
          <w:tab w:val="left" w:pos="1134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02629" w:rsidRPr="00202629" w:rsidRDefault="00202629" w:rsidP="00202629">
      <w:pPr>
        <w:tabs>
          <w:tab w:val="left" w:pos="567"/>
          <w:tab w:val="left" w:pos="1134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61F63" w:rsidRPr="00202629" w:rsidRDefault="00A61F63" w:rsidP="00202629">
      <w:pPr>
        <w:widowControl w:val="0"/>
        <w:tabs>
          <w:tab w:val="left" w:pos="567"/>
          <w:tab w:val="left" w:pos="5245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6"/>
          <w:szCs w:val="26"/>
          <w:lang w:val="en-GB"/>
        </w:rPr>
      </w:pP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ИЗГОТВИЛ:</w:t>
      </w:r>
      <w:r w:rsidR="000901DD" w:rsidRPr="00202629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ab/>
      </w:r>
      <w:r w:rsidRPr="00202629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СЪГЛАСУВАЛИ:</w:t>
      </w:r>
    </w:p>
    <w:p w:rsidR="00A61F63" w:rsidRPr="00202629" w:rsidRDefault="00EB1CF2" w:rsidP="00202629">
      <w:pPr>
        <w:widowControl w:val="0"/>
        <w:tabs>
          <w:tab w:val="left" w:pos="567"/>
          <w:tab w:val="left" w:pos="5245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>Технически организатор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:</w:t>
      </w:r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Р-л отдел 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proofErr w:type="spellStart"/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GB"/>
        </w:rPr>
        <w:t>Строителств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</w:rPr>
        <w:t>о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  <w:lang w:val="en-GB"/>
        </w:rPr>
        <w:t>”:</w:t>
      </w:r>
    </w:p>
    <w:p w:rsidR="00A61F63" w:rsidRPr="00202629" w:rsidRDefault="00A61F63" w:rsidP="00202629">
      <w:pPr>
        <w:widowControl w:val="0"/>
        <w:tabs>
          <w:tab w:val="left" w:pos="567"/>
          <w:tab w:val="left" w:pos="5245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en-AU"/>
        </w:rPr>
      </w:pP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/</w:t>
      </w:r>
      <w:r w:rsidR="00EB1CF2" w:rsidRPr="00202629">
        <w:rPr>
          <w:rFonts w:ascii="Times New Roman" w:eastAsia="Times New Roman" w:hAnsi="Times New Roman" w:cs="Times New Roman"/>
          <w:sz w:val="26"/>
          <w:szCs w:val="26"/>
        </w:rPr>
        <w:t>Гергана Вагашева</w:t>
      </w:r>
      <w:r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>/</w:t>
      </w:r>
      <w:r w:rsidR="000901DD" w:rsidRPr="00202629">
        <w:rPr>
          <w:rFonts w:ascii="Times New Roman" w:eastAsia="Times New Roman" w:hAnsi="Times New Roman" w:cs="Times New Roman"/>
          <w:sz w:val="26"/>
          <w:szCs w:val="26"/>
          <w:lang w:val="en-AU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r w:rsidR="00EB1CF2" w:rsidRPr="00202629">
        <w:rPr>
          <w:rFonts w:ascii="Times New Roman" w:eastAsia="Times New Roman" w:hAnsi="Times New Roman" w:cs="Times New Roman"/>
          <w:sz w:val="26"/>
          <w:szCs w:val="26"/>
        </w:rPr>
        <w:t xml:space="preserve">инж. Здравка </w:t>
      </w:r>
      <w:proofErr w:type="spellStart"/>
      <w:r w:rsidR="00EB1CF2" w:rsidRPr="00202629">
        <w:rPr>
          <w:rFonts w:ascii="Times New Roman" w:eastAsia="Times New Roman" w:hAnsi="Times New Roman" w:cs="Times New Roman"/>
          <w:sz w:val="26"/>
          <w:szCs w:val="26"/>
        </w:rPr>
        <w:t>Кърпаров</w:t>
      </w:r>
      <w:proofErr w:type="spellEnd"/>
      <w:r w:rsidRPr="00202629">
        <w:rPr>
          <w:rFonts w:ascii="Times New Roman" w:eastAsia="Times New Roman" w:hAnsi="Times New Roman" w:cs="Times New Roman"/>
          <w:sz w:val="26"/>
          <w:szCs w:val="26"/>
          <w:lang w:val="en-GB"/>
        </w:rPr>
        <w:t>/</w:t>
      </w:r>
    </w:p>
    <w:p w:rsidR="00A61F63" w:rsidRPr="00202629" w:rsidRDefault="000901DD" w:rsidP="00202629">
      <w:pPr>
        <w:tabs>
          <w:tab w:val="left" w:pos="567"/>
          <w:tab w:val="left" w:pos="524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61F63" w:rsidRPr="00202629" w:rsidRDefault="000901DD" w:rsidP="00202629">
      <w:pPr>
        <w:tabs>
          <w:tab w:val="left" w:pos="567"/>
          <w:tab w:val="left" w:pos="524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Р-л отдел „</w:t>
      </w:r>
      <w:r w:rsidR="00EB1CF2" w:rsidRPr="00202629">
        <w:rPr>
          <w:rFonts w:ascii="Times New Roman" w:eastAsia="Times New Roman" w:hAnsi="Times New Roman" w:cs="Times New Roman"/>
          <w:sz w:val="26"/>
          <w:szCs w:val="26"/>
        </w:rPr>
        <w:t>Доставки и Логистика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“:</w:t>
      </w:r>
    </w:p>
    <w:p w:rsidR="00A61F63" w:rsidRPr="00202629" w:rsidRDefault="000901DD" w:rsidP="00202629">
      <w:pPr>
        <w:tabs>
          <w:tab w:val="left" w:pos="567"/>
          <w:tab w:val="left" w:pos="524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/</w:t>
      </w:r>
      <w:r w:rsidR="00EB1CF2" w:rsidRPr="00202629">
        <w:rPr>
          <w:rFonts w:ascii="Times New Roman" w:eastAsia="Times New Roman" w:hAnsi="Times New Roman" w:cs="Times New Roman"/>
          <w:sz w:val="26"/>
          <w:szCs w:val="26"/>
        </w:rPr>
        <w:t>инж. Илия Добрев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/</w:t>
      </w:r>
    </w:p>
    <w:p w:rsidR="00EB1CF2" w:rsidRPr="00202629" w:rsidRDefault="000901DD" w:rsidP="00202629">
      <w:pPr>
        <w:tabs>
          <w:tab w:val="left" w:pos="567"/>
          <w:tab w:val="left" w:pos="5245"/>
          <w:tab w:val="left" w:pos="552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61F63" w:rsidRPr="00202629" w:rsidRDefault="00EB1CF2" w:rsidP="00202629">
      <w:pPr>
        <w:tabs>
          <w:tab w:val="left" w:pos="567"/>
          <w:tab w:val="left" w:pos="5245"/>
          <w:tab w:val="left" w:pos="552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Р-л отдел “БЗР”:</w:t>
      </w:r>
    </w:p>
    <w:p w:rsidR="00A61F63" w:rsidRPr="00202629" w:rsidRDefault="000901DD" w:rsidP="00202629">
      <w:pPr>
        <w:tabs>
          <w:tab w:val="left" w:pos="567"/>
          <w:tab w:val="left" w:pos="524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/</w:t>
      </w:r>
      <w:r w:rsidR="00EB1CF2" w:rsidRPr="00202629">
        <w:rPr>
          <w:rFonts w:ascii="Times New Roman" w:eastAsia="Times New Roman" w:hAnsi="Times New Roman" w:cs="Times New Roman"/>
          <w:sz w:val="26"/>
          <w:szCs w:val="26"/>
        </w:rPr>
        <w:t>инж. Петър Дерменджиев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/</w:t>
      </w:r>
    </w:p>
    <w:p w:rsidR="00EB1CF2" w:rsidRPr="00202629" w:rsidRDefault="000901DD" w:rsidP="00202629">
      <w:pPr>
        <w:tabs>
          <w:tab w:val="left" w:pos="567"/>
          <w:tab w:val="left" w:pos="4962"/>
          <w:tab w:val="left" w:pos="524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61F63" w:rsidRPr="00202629" w:rsidRDefault="00EB1CF2" w:rsidP="00202629">
      <w:pPr>
        <w:tabs>
          <w:tab w:val="left" w:pos="567"/>
          <w:tab w:val="left" w:pos="4962"/>
          <w:tab w:val="left" w:pos="524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Р-л отдел “Екология”:</w:t>
      </w:r>
    </w:p>
    <w:p w:rsidR="00A61F63" w:rsidRPr="00202629" w:rsidRDefault="000901DD" w:rsidP="00202629">
      <w:pPr>
        <w:tabs>
          <w:tab w:val="left" w:pos="567"/>
          <w:tab w:val="left" w:pos="524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/</w:t>
      </w:r>
      <w:r w:rsidR="00EB1CF2" w:rsidRPr="00202629">
        <w:rPr>
          <w:rFonts w:ascii="Times New Roman" w:eastAsia="Times New Roman" w:hAnsi="Times New Roman" w:cs="Times New Roman"/>
          <w:sz w:val="26"/>
          <w:szCs w:val="26"/>
        </w:rPr>
        <w:t xml:space="preserve">инж. Мариела </w:t>
      </w:r>
      <w:proofErr w:type="spellStart"/>
      <w:r w:rsidR="00EB1CF2" w:rsidRPr="00202629">
        <w:rPr>
          <w:rFonts w:ascii="Times New Roman" w:eastAsia="Times New Roman" w:hAnsi="Times New Roman" w:cs="Times New Roman"/>
          <w:sz w:val="26"/>
          <w:szCs w:val="26"/>
        </w:rPr>
        <w:t>Джиджинкова</w:t>
      </w:r>
      <w:proofErr w:type="spellEnd"/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/</w:t>
      </w:r>
    </w:p>
    <w:p w:rsidR="00EB1CF2" w:rsidRPr="00202629" w:rsidRDefault="000901DD" w:rsidP="00202629">
      <w:pPr>
        <w:tabs>
          <w:tab w:val="left" w:pos="567"/>
          <w:tab w:val="left" w:pos="5245"/>
          <w:tab w:val="left" w:pos="53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61F63" w:rsidRPr="00202629" w:rsidRDefault="00EB1CF2" w:rsidP="00202629">
      <w:pPr>
        <w:tabs>
          <w:tab w:val="left" w:pos="567"/>
          <w:tab w:val="left" w:pos="5245"/>
          <w:tab w:val="left" w:pos="538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202629">
        <w:rPr>
          <w:rFonts w:ascii="Times New Roman" w:eastAsia="Times New Roman" w:hAnsi="Times New Roman" w:cs="Times New Roman"/>
          <w:sz w:val="26"/>
          <w:szCs w:val="26"/>
        </w:rPr>
        <w:t>-л направление „Д и С“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61F63" w:rsidRPr="00202629" w:rsidRDefault="000901DD" w:rsidP="00202629">
      <w:pPr>
        <w:tabs>
          <w:tab w:val="left" w:pos="567"/>
          <w:tab w:val="left" w:pos="524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Pr="00202629">
        <w:rPr>
          <w:rFonts w:ascii="Times New Roman" w:eastAsia="Times New Roman" w:hAnsi="Times New Roman" w:cs="Times New Roman"/>
          <w:sz w:val="26"/>
          <w:szCs w:val="26"/>
        </w:rPr>
        <w:tab/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/</w:t>
      </w:r>
      <w:r w:rsidR="00EB1CF2" w:rsidRPr="00202629">
        <w:rPr>
          <w:rFonts w:ascii="Times New Roman" w:eastAsia="Times New Roman" w:hAnsi="Times New Roman" w:cs="Times New Roman"/>
          <w:sz w:val="26"/>
          <w:szCs w:val="26"/>
        </w:rPr>
        <w:t>Николай Господинов</w:t>
      </w:r>
      <w:r w:rsidR="00A61F63" w:rsidRPr="00202629">
        <w:rPr>
          <w:rFonts w:ascii="Times New Roman" w:eastAsia="Times New Roman" w:hAnsi="Times New Roman" w:cs="Times New Roman"/>
          <w:sz w:val="26"/>
          <w:szCs w:val="26"/>
        </w:rPr>
        <w:t>/</w:t>
      </w:r>
    </w:p>
    <w:p w:rsidR="00235317" w:rsidRPr="00202629" w:rsidRDefault="00235317" w:rsidP="00202629">
      <w:pPr>
        <w:tabs>
          <w:tab w:val="left" w:pos="567"/>
        </w:tabs>
        <w:spacing w:after="0"/>
        <w:ind w:firstLine="284"/>
        <w:rPr>
          <w:sz w:val="26"/>
          <w:szCs w:val="26"/>
        </w:rPr>
      </w:pPr>
    </w:p>
    <w:sectPr w:rsidR="00235317" w:rsidRPr="00202629" w:rsidSect="00202629">
      <w:footerReference w:type="default" r:id="rId7"/>
      <w:pgSz w:w="11906" w:h="16838"/>
      <w:pgMar w:top="1134" w:right="1134" w:bottom="1134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629" w:rsidRDefault="00202629" w:rsidP="00202629">
      <w:pPr>
        <w:spacing w:after="0" w:line="240" w:lineRule="auto"/>
      </w:pPr>
      <w:r>
        <w:separator/>
      </w:r>
    </w:p>
  </w:endnote>
  <w:endnote w:type="continuationSeparator" w:id="0">
    <w:p w:rsidR="00202629" w:rsidRDefault="00202629" w:rsidP="0020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2003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629" w:rsidRDefault="002026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2629" w:rsidRDefault="00202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629" w:rsidRDefault="00202629" w:rsidP="00202629">
      <w:pPr>
        <w:spacing w:after="0" w:line="240" w:lineRule="auto"/>
      </w:pPr>
      <w:r>
        <w:separator/>
      </w:r>
    </w:p>
  </w:footnote>
  <w:footnote w:type="continuationSeparator" w:id="0">
    <w:p w:rsidR="00202629" w:rsidRDefault="00202629" w:rsidP="00202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20476C"/>
    <w:multiLevelType w:val="hybridMultilevel"/>
    <w:tmpl w:val="2D36ED28"/>
    <w:lvl w:ilvl="0" w:tplc="05A4A082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2D7832"/>
    <w:multiLevelType w:val="hybridMultilevel"/>
    <w:tmpl w:val="D2942920"/>
    <w:lvl w:ilvl="0" w:tplc="92EC10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3499076F"/>
    <w:multiLevelType w:val="hybridMultilevel"/>
    <w:tmpl w:val="E1680F28"/>
    <w:lvl w:ilvl="0" w:tplc="708C035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4EB6671"/>
    <w:multiLevelType w:val="hybridMultilevel"/>
    <w:tmpl w:val="0DD02F84"/>
    <w:lvl w:ilvl="0" w:tplc="59FECA9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3"/>
  </w:num>
  <w:num w:numId="10">
    <w:abstractNumId w:val="1"/>
  </w:num>
  <w:num w:numId="11">
    <w:abstractNumId w:val="0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63"/>
    <w:rsid w:val="000901DD"/>
    <w:rsid w:val="00202629"/>
    <w:rsid w:val="00220C33"/>
    <w:rsid w:val="00235317"/>
    <w:rsid w:val="003633FE"/>
    <w:rsid w:val="0061122C"/>
    <w:rsid w:val="00681A75"/>
    <w:rsid w:val="006D2669"/>
    <w:rsid w:val="00842556"/>
    <w:rsid w:val="00A61F63"/>
    <w:rsid w:val="00A763D9"/>
    <w:rsid w:val="00BD6A35"/>
    <w:rsid w:val="00C41DCC"/>
    <w:rsid w:val="00CF6E77"/>
    <w:rsid w:val="00DC5C9E"/>
    <w:rsid w:val="00E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C898"/>
  <w15:chartTrackingRefBased/>
  <w15:docId w15:val="{62716D72-8F7D-404C-85DB-4E612A40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629"/>
  </w:style>
  <w:style w:type="paragraph" w:styleId="Footer">
    <w:name w:val="footer"/>
    <w:basedOn w:val="Normal"/>
    <w:link w:val="FooterChar"/>
    <w:uiPriority w:val="99"/>
    <w:unhideWhenUsed/>
    <w:rsid w:val="0020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5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Vagasheva</dc:creator>
  <cp:keywords/>
  <dc:description/>
  <cp:lastModifiedBy>Gergana Vagasheva</cp:lastModifiedBy>
  <cp:revision>6</cp:revision>
  <cp:lastPrinted>2026-01-21T07:37:00Z</cp:lastPrinted>
  <dcterms:created xsi:type="dcterms:W3CDTF">2026-01-15T07:10:00Z</dcterms:created>
  <dcterms:modified xsi:type="dcterms:W3CDTF">2026-06-23T12:43:00Z</dcterms:modified>
</cp:coreProperties>
</file>